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A94" w:rsidRDefault="00A76A94" w:rsidP="00A76A94">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30 treinta de junio del año 2017 dos mil diecisiete. . </w:t>
      </w:r>
    </w:p>
    <w:p w:rsidR="00A76A94" w:rsidRDefault="00A76A94" w:rsidP="00A76A94">
      <w:pPr>
        <w:rPr>
          <w:rFonts w:ascii="Calibri" w:hAnsi="Calibri" w:cs="Calibri"/>
          <w:color w:val="7F7F7F" w:themeColor="text1" w:themeTint="80"/>
          <w:sz w:val="26"/>
          <w:szCs w:val="26"/>
          <w:lang w:val="es-MX"/>
        </w:rPr>
      </w:pP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0388/2do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A76A94" w:rsidRDefault="00A76A94" w:rsidP="00A76A94">
      <w:pPr>
        <w:pStyle w:val="Textoindependiente"/>
        <w:rPr>
          <w:rFonts w:ascii="Calibri" w:hAnsi="Calibri" w:cs="Calibri"/>
          <w:color w:val="7F7F7F" w:themeColor="text1" w:themeTint="80"/>
          <w:sz w:val="26"/>
          <w:szCs w:val="26"/>
        </w:rPr>
      </w:pPr>
    </w:p>
    <w:p w:rsidR="00A76A94" w:rsidRDefault="00A76A94" w:rsidP="00A76A94">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A76A94" w:rsidRDefault="00A76A94" w:rsidP="00A76A94">
      <w:pPr>
        <w:pStyle w:val="Textoindependiente"/>
        <w:ind w:firstLine="708"/>
        <w:jc w:val="center"/>
        <w:rPr>
          <w:rFonts w:ascii="Calibri" w:hAnsi="Calibri" w:cs="Calibri"/>
          <w:b/>
          <w:bCs/>
          <w:color w:val="7F7F7F" w:themeColor="text1" w:themeTint="80"/>
          <w:sz w:val="26"/>
          <w:szCs w:val="26"/>
        </w:rPr>
      </w:pP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02 dos de febrero del año en curso, sin que de las constancias de la presente causa administrativa se desprenda lo contrario. . </w:t>
      </w:r>
      <w:r>
        <w:rPr>
          <w:rFonts w:ascii="Calibri" w:hAnsi="Calibri" w:cs="Calibri"/>
          <w:color w:val="767171" w:themeColor="background2" w:themeShade="80"/>
          <w:sz w:val="26"/>
          <w:szCs w:val="26"/>
        </w:rPr>
        <w:t xml:space="preserve">. . . . . . . . . . . . . . . . . . . . . . . . . . . . . . . . . . . . . . . . . . . . . . . . </w:t>
      </w:r>
    </w:p>
    <w:p w:rsidR="00A76A94" w:rsidRDefault="00A76A94" w:rsidP="00A76A94">
      <w:pPr>
        <w:jc w:val="both"/>
        <w:rPr>
          <w:rFonts w:ascii="Calibri" w:hAnsi="Calibri" w:cs="Calibri"/>
          <w:b/>
          <w:i/>
          <w:iCs/>
          <w:color w:val="7F7F7F" w:themeColor="text1" w:themeTint="80"/>
          <w:sz w:val="26"/>
          <w:szCs w:val="26"/>
          <w:lang w:val="es-MX"/>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360246 (tres-seis-cero-dos-cuatro-seis), de fecha 02 dos de febrero del año 2017 dos mil diecisiete; documento que, admitido como prueba a las partes (visible a foja 11 once), merece pleno valor probatorio, conforme lo dispuesto en los artículos 78, 81, 117, 118, 121 y 131 del Código de Procedimiento y Justicia Administrativa para el </w:t>
      </w:r>
    </w:p>
    <w:p w:rsidR="00A76A94" w:rsidRDefault="00A76A94" w:rsidP="00A76A9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0388/2do JAM/2017-JN</w:t>
      </w:r>
    </w:p>
    <w:p w:rsidR="00A76A94" w:rsidRDefault="00A76A94" w:rsidP="00A76A94">
      <w:pPr>
        <w:ind w:left="708"/>
        <w:jc w:val="both"/>
        <w:rPr>
          <w:rFonts w:ascii="Calibri" w:hAnsi="Calibri" w:cs="Calibri"/>
          <w:color w:val="7F7F7F" w:themeColor="text1" w:themeTint="80"/>
          <w:sz w:val="26"/>
          <w:szCs w:val="26"/>
        </w:rPr>
      </w:pPr>
    </w:p>
    <w:p w:rsidR="00A76A94" w:rsidRDefault="00A76A94" w:rsidP="00A76A94">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A76A94" w:rsidRDefault="00A76A94" w:rsidP="00A76A94">
      <w:pPr>
        <w:jc w:val="both"/>
        <w:rPr>
          <w:rFonts w:ascii="Calibri" w:hAnsi="Calibri" w:cs="Calibri"/>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A76A94" w:rsidRDefault="00A76A94" w:rsidP="00A76A94">
      <w:pPr>
        <w:ind w:firstLine="708"/>
        <w:jc w:val="both"/>
        <w:rPr>
          <w:rFonts w:ascii="Calibri" w:hAnsi="Calibri" w:cs="Calibri"/>
          <w:b/>
          <w:bCs/>
          <w:i/>
          <w:iCs/>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A76A94" w:rsidRDefault="00A76A94" w:rsidP="00A76A94">
      <w:pPr>
        <w:ind w:firstLine="708"/>
        <w:jc w:val="right"/>
        <w:rPr>
          <w:rFonts w:ascii="Calibri" w:hAnsi="Calibri" w:cs="Calibri"/>
          <w:b/>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lastRenderedPageBreak/>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xml:space="preserve">. . . . . . . . . . . . . . . . . . . . . . . . . . . . . . . . . . . . . </w:t>
      </w:r>
    </w:p>
    <w:p w:rsidR="00A76A94" w:rsidRDefault="00A76A94" w:rsidP="00A76A94">
      <w:pPr>
        <w:ind w:firstLine="708"/>
        <w:jc w:val="both"/>
        <w:rPr>
          <w:rFonts w:ascii="Calibri" w:hAnsi="Calibri" w:cs="Calibri"/>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4 cuatro a la 10 diez),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A76A94" w:rsidRDefault="00A76A94" w:rsidP="00A76A94">
      <w:pPr>
        <w:jc w:val="both"/>
        <w:rPr>
          <w:rFonts w:ascii="Calibri" w:hAnsi="Calibri" w:cs="Calibri"/>
          <w:b/>
          <w:bCs/>
          <w:i/>
          <w:iCs/>
          <w:color w:val="7F7F7F" w:themeColor="text1" w:themeTint="80"/>
          <w:sz w:val="26"/>
          <w:szCs w:val="26"/>
        </w:rPr>
      </w:pPr>
    </w:p>
    <w:p w:rsidR="00A76A94" w:rsidRDefault="00A76A94" w:rsidP="00A76A94">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A76A94" w:rsidRDefault="00A76A94" w:rsidP="00A76A94">
      <w:pPr>
        <w:jc w:val="both"/>
        <w:rPr>
          <w:rFonts w:ascii="Calibri" w:hAnsi="Calibri" w:cs="Calibri"/>
          <w:b/>
          <w:bCs/>
          <w:i/>
          <w:iCs/>
          <w:color w:val="7F7F7F" w:themeColor="text1" w:themeTint="80"/>
          <w:sz w:val="26"/>
          <w:szCs w:val="26"/>
        </w:rPr>
      </w:pPr>
    </w:p>
    <w:p w:rsidR="00A76A94" w:rsidRDefault="00A76A94" w:rsidP="00A76A9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A76A94" w:rsidRDefault="00A76A94" w:rsidP="00A76A94">
      <w:pPr>
        <w:pStyle w:val="Sangradetextonormal"/>
        <w:ind w:left="0" w:firstLine="708"/>
        <w:jc w:val="both"/>
        <w:rPr>
          <w:rFonts w:ascii="Calibri" w:hAnsi="Calibri" w:cs="Calibri"/>
          <w:bCs/>
          <w:iCs/>
          <w:color w:val="7F7F7F" w:themeColor="text1" w:themeTint="80"/>
          <w:sz w:val="26"/>
          <w:szCs w:val="26"/>
        </w:rPr>
      </w:pPr>
    </w:p>
    <w:p w:rsidR="00A76A94" w:rsidRDefault="00A76A94" w:rsidP="00A76A9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lastRenderedPageBreak/>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color w:val="767171" w:themeColor="background2" w:themeShade="80"/>
          <w:sz w:val="26"/>
          <w:szCs w:val="26"/>
        </w:rPr>
        <w:t xml:space="preserve">. . . . . . . . . . . . . . . . . . . . . . . . . . . . . . . . . . . </w:t>
      </w:r>
    </w:p>
    <w:p w:rsidR="00A76A94" w:rsidRDefault="00A76A94" w:rsidP="00A76A94">
      <w:pPr>
        <w:pStyle w:val="Sangradetextonormal"/>
        <w:ind w:left="0" w:firstLine="708"/>
        <w:jc w:val="both"/>
        <w:rPr>
          <w:rFonts w:ascii="Calibri" w:hAnsi="Calibri" w:cs="Calibri"/>
          <w:bCs/>
          <w:iCs/>
          <w:color w:val="7F7F7F" w:themeColor="text1" w:themeTint="80"/>
          <w:sz w:val="26"/>
          <w:szCs w:val="26"/>
        </w:rPr>
      </w:pPr>
    </w:p>
    <w:p w:rsidR="00A76A94" w:rsidRDefault="00A76A94" w:rsidP="00A76A9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F7F7F" w:themeColor="text1" w:themeTint="80"/>
          <w:sz w:val="26"/>
          <w:szCs w:val="26"/>
          <w:u w:val="single"/>
        </w:rPr>
        <w:t>trigésimo día</w:t>
      </w:r>
      <w:r>
        <w:rPr>
          <w:rFonts w:ascii="Calibri" w:hAnsi="Calibri" w:cs="Calibri"/>
          <w:bCs/>
          <w:iCs/>
          <w:color w:val="7F7F7F" w:themeColor="text1" w:themeTint="80"/>
          <w:sz w:val="26"/>
          <w:szCs w:val="26"/>
        </w:rPr>
        <w:t xml:space="preserve"> siguiente 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p>
    <w:p w:rsidR="00A76A94" w:rsidRDefault="00A76A94" w:rsidP="00A76A94">
      <w:pPr>
        <w:pStyle w:val="Sangradetextonormal"/>
        <w:ind w:left="0" w:firstLine="708"/>
        <w:jc w:val="both"/>
        <w:rPr>
          <w:rFonts w:ascii="Calibri" w:hAnsi="Calibri" w:cs="Calibri"/>
          <w:bCs/>
          <w:iCs/>
          <w:color w:val="7F7F7F" w:themeColor="text1" w:themeTint="80"/>
          <w:sz w:val="26"/>
          <w:szCs w:val="26"/>
        </w:rPr>
      </w:pPr>
    </w:p>
    <w:p w:rsidR="00A76A94" w:rsidRDefault="00A76A94" w:rsidP="00A76A9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A76A94" w:rsidRDefault="00A76A94" w:rsidP="00A76A94">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w:t>
      </w: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w:t>
      </w:r>
    </w:p>
    <w:p w:rsidR="00A76A94" w:rsidRDefault="00A76A94" w:rsidP="00A76A9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0388/2do JAM/2017-JN</w:t>
      </w:r>
    </w:p>
    <w:p w:rsidR="00A76A94" w:rsidRDefault="00A76A94" w:rsidP="00A76A94">
      <w:pPr>
        <w:ind w:firstLine="708"/>
        <w:jc w:val="both"/>
        <w:rPr>
          <w:rFonts w:ascii="Calibri" w:hAnsi="Calibri" w:cs="Calibri"/>
          <w:color w:val="7F7F7F" w:themeColor="text1" w:themeTint="80"/>
          <w:sz w:val="26"/>
          <w:szCs w:val="26"/>
        </w:rPr>
      </w:pPr>
    </w:p>
    <w:p w:rsidR="00A76A94" w:rsidRDefault="00A76A94" w:rsidP="00A76A94">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para</w:t>
      </w:r>
      <w:proofErr w:type="gramEnd"/>
      <w:r>
        <w:rPr>
          <w:rFonts w:ascii="Calibri" w:hAnsi="Calibri" w:cs="Calibri"/>
          <w:color w:val="7F7F7F" w:themeColor="text1" w:themeTint="80"/>
          <w:sz w:val="26"/>
          <w:szCs w:val="26"/>
        </w:rPr>
        <w:t xml:space="preserve"> el Estado y los Municipios de Guanajuato, procede a fijar clara y precisamente los puntos controvertidos en el presente proceso administrativo. . . </w:t>
      </w:r>
    </w:p>
    <w:p w:rsidR="00A76A94" w:rsidRDefault="00A76A94" w:rsidP="00A76A94">
      <w:pPr>
        <w:ind w:firstLine="708"/>
        <w:jc w:val="both"/>
        <w:rPr>
          <w:rFonts w:ascii="Calibri" w:hAnsi="Calibri" w:cs="Calibri"/>
          <w:color w:val="7F7F7F" w:themeColor="text1" w:themeTint="80"/>
          <w:sz w:val="26"/>
          <w:szCs w:val="26"/>
        </w:rPr>
      </w:pPr>
    </w:p>
    <w:p w:rsidR="00A76A94" w:rsidRDefault="00A76A94" w:rsidP="00A76A94">
      <w:pPr>
        <w:ind w:firstLine="708"/>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w:t>
      </w:r>
      <w:r>
        <w:rPr>
          <w:rFonts w:ascii="Calibri" w:hAnsi="Calibri" w:cs="Calibri"/>
          <w:color w:val="7F7F7F" w:themeColor="text1" w:themeTint="80"/>
          <w:sz w:val="26"/>
          <w:szCs w:val="26"/>
        </w:rPr>
        <w:lastRenderedPageBreak/>
        <w:t xml:space="preserve">la presente causa administrativa, se desprende que el Inspector de Movilidad, ciudadano *****, con fecha 02 dos de febrero del año 2017 dos mil diecisiete, en el lugar que identificó como: </w:t>
      </w:r>
      <w:r>
        <w:rPr>
          <w:rFonts w:ascii="Calibri" w:hAnsi="Calibri" w:cs="Calibri"/>
          <w:i/>
          <w:iCs/>
          <w:color w:val="7F7F7F" w:themeColor="text1" w:themeTint="80"/>
          <w:sz w:val="26"/>
          <w:szCs w:val="26"/>
        </w:rPr>
        <w:t>“Interior de la Estación San Jerónimo”</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360246 (tres-seis-cero-dos-cuatro-seis),  en  la que señaló  como concepto de la infracción: </w:t>
      </w:r>
      <w:r>
        <w:rPr>
          <w:rFonts w:ascii="Calibri" w:hAnsi="Calibri" w:cs="Calibri"/>
          <w:i/>
          <w:color w:val="7F7F7F" w:themeColor="text1" w:themeTint="80"/>
          <w:sz w:val="26"/>
          <w:szCs w:val="26"/>
        </w:rPr>
        <w:t xml:space="preserve">“Por no cumplir con los horarios, rutas, itinerarios y frecuencias autorizadas en la prestación del servicio (Afore la ruta A 56 C2, percatándome que se pierde despacho físico correspondiente al despacho número 20 que tiene como horario 07:25 </w:t>
      </w:r>
      <w:proofErr w:type="spellStart"/>
      <w:r>
        <w:rPr>
          <w:rFonts w:ascii="Calibri" w:hAnsi="Calibri" w:cs="Calibri"/>
          <w:i/>
          <w:color w:val="7F7F7F" w:themeColor="text1" w:themeTint="80"/>
          <w:sz w:val="26"/>
          <w:szCs w:val="26"/>
        </w:rPr>
        <w:t>hrs</w:t>
      </w:r>
      <w:proofErr w:type="spellEnd"/>
      <w:r>
        <w:rPr>
          <w:rFonts w:ascii="Calibri" w:hAnsi="Calibri" w:cs="Calibri"/>
          <w:i/>
          <w:color w:val="7F7F7F" w:themeColor="text1" w:themeTint="80"/>
          <w:sz w:val="26"/>
          <w:szCs w:val="26"/>
        </w:rPr>
        <w:t xml:space="preserve">. no cumpliéndose………)”,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“Nombre*****., domicilio: Francisco Mena #101”</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 . . . . . . . . . . . . . . . . . . . . . . . . . . . </w:t>
      </w:r>
    </w:p>
    <w:p w:rsidR="00A76A94" w:rsidRDefault="00A76A94" w:rsidP="00A76A94">
      <w:pPr>
        <w:pStyle w:val="Textoindependiente"/>
        <w:tabs>
          <w:tab w:val="left" w:pos="3594"/>
        </w:tabs>
        <w:rPr>
          <w:rFonts w:ascii="Calibri" w:hAnsi="Calibri" w:cs="Calibri"/>
          <w:color w:val="7F7F7F" w:themeColor="text1" w:themeTint="80"/>
          <w:sz w:val="26"/>
          <w:szCs w:val="26"/>
          <w:lang w:val="es-ES"/>
        </w:rPr>
      </w:pPr>
    </w:p>
    <w:p w:rsidR="00A76A94" w:rsidRDefault="00A76A94" w:rsidP="00A76A94">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A76A94" w:rsidRDefault="00A76A94" w:rsidP="00A76A94">
      <w:pPr>
        <w:pStyle w:val="Textoindependiente"/>
        <w:tabs>
          <w:tab w:val="left" w:pos="3594"/>
        </w:tabs>
        <w:rPr>
          <w:rFonts w:ascii="Calibri" w:hAnsi="Calibri" w:cs="Calibri"/>
          <w:iCs/>
          <w:color w:val="7F7F7F" w:themeColor="text1" w:themeTint="80"/>
          <w:sz w:val="26"/>
          <w:szCs w:val="26"/>
        </w:rPr>
      </w:pPr>
    </w:p>
    <w:p w:rsidR="00A76A94" w:rsidRDefault="00A76A94" w:rsidP="00A76A94">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A76A94" w:rsidRDefault="00A76A94" w:rsidP="00A76A94">
      <w:pPr>
        <w:pStyle w:val="Textoindependiente"/>
        <w:tabs>
          <w:tab w:val="left" w:pos="3594"/>
        </w:tabs>
        <w:rPr>
          <w:rFonts w:ascii="Calibri" w:hAnsi="Calibri" w:cs="Calibri"/>
          <w:iCs/>
          <w:color w:val="7F7F7F" w:themeColor="text1" w:themeTint="80"/>
          <w:sz w:val="26"/>
          <w:szCs w:val="26"/>
        </w:rPr>
      </w:pPr>
    </w:p>
    <w:p w:rsidR="00A76A94" w:rsidRDefault="00A76A94" w:rsidP="00A76A94">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360246 (tres-seis-cero-dos-cuatro-seis), de fecha 02 dos de febrero del año 2017 dos mil diecisiete y la procedencia o improcedencia de sus pretensiones. . . . . . . . . . . . . . . . . . . . . . . </w:t>
      </w:r>
    </w:p>
    <w:p w:rsidR="00A76A94" w:rsidRDefault="00A76A94" w:rsidP="00A76A94">
      <w:pPr>
        <w:pStyle w:val="Textoindependiente"/>
        <w:tabs>
          <w:tab w:val="left" w:pos="3594"/>
        </w:tabs>
        <w:rPr>
          <w:color w:val="7F7F7F" w:themeColor="text1" w:themeTint="80"/>
          <w:sz w:val="22"/>
        </w:rPr>
      </w:pPr>
    </w:p>
    <w:p w:rsidR="00A76A94" w:rsidRDefault="00A76A94" w:rsidP="00A76A94">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p>
    <w:p w:rsidR="00A76A94" w:rsidRDefault="00A76A94" w:rsidP="00A76A94">
      <w:pPr>
        <w:ind w:firstLine="708"/>
        <w:jc w:val="both"/>
        <w:rPr>
          <w:color w:val="7F7F7F" w:themeColor="text1" w:themeTint="80"/>
          <w:lang w:val="es-MX"/>
        </w:rPr>
      </w:pPr>
    </w:p>
    <w:p w:rsidR="00A76A94" w:rsidRDefault="00A76A94" w:rsidP="00A76A94">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Pr>
          <w:rFonts w:ascii="Calibri" w:hAnsi="Calibri"/>
          <w:i/>
          <w:iCs/>
          <w:color w:val="7F7F7F" w:themeColor="text1" w:themeTint="80"/>
          <w:sz w:val="26"/>
        </w:rPr>
        <w:lastRenderedPageBreak/>
        <w:t xml:space="preserve">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76A94" w:rsidRDefault="00A76A94" w:rsidP="00A76A94">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A76A94" w:rsidRDefault="00A76A94" w:rsidP="00A76A94">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xml:space="preserve">.- Causa agravio……por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A76A94" w:rsidRDefault="00A76A94" w:rsidP="00A76A94">
      <w:pPr>
        <w:ind w:firstLine="708"/>
        <w:jc w:val="both"/>
        <w:rPr>
          <w:rFonts w:ascii="Calibri" w:hAnsi="Calibri" w:cs="Calibri"/>
          <w:iCs/>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76A94" w:rsidRDefault="00A76A94" w:rsidP="00A76A94">
      <w:pPr>
        <w:jc w:val="both"/>
        <w:rPr>
          <w:rFonts w:ascii="Calibri" w:hAnsi="Calibri" w:cs="Calibri"/>
          <w:bCs/>
          <w:color w:val="7F7F7F" w:themeColor="text1" w:themeTint="80"/>
          <w:sz w:val="26"/>
          <w:szCs w:val="26"/>
        </w:rPr>
      </w:pPr>
    </w:p>
    <w:p w:rsidR="00A76A94" w:rsidRDefault="00A76A94" w:rsidP="00A76A94">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360246 (tres-seis-cero-dos-cuatro-seis), de fecha 02 dos de febrero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r>
        <w:rPr>
          <w:rFonts w:ascii="Calibri" w:hAnsi="Calibri" w:cs="Calibri"/>
          <w:color w:val="7F7F7F" w:themeColor="text1" w:themeTint="80"/>
          <w:sz w:val="26"/>
          <w:szCs w:val="26"/>
        </w:rPr>
        <w:t xml:space="preserve">. . . . . . </w:t>
      </w:r>
    </w:p>
    <w:p w:rsidR="00A76A94" w:rsidRDefault="00A76A94" w:rsidP="00A76A94">
      <w:pPr>
        <w:jc w:val="both"/>
        <w:rPr>
          <w:rFonts w:ascii="Calibri" w:hAnsi="Calibri" w:cs="Calibri"/>
          <w:bCs/>
          <w:color w:val="7F7F7F" w:themeColor="text1" w:themeTint="80"/>
          <w:sz w:val="20"/>
          <w:szCs w:val="20"/>
        </w:rPr>
      </w:pPr>
    </w:p>
    <w:p w:rsidR="00A76A94" w:rsidRDefault="00A76A94" w:rsidP="00A76A94">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w:t>
      </w:r>
      <w:r>
        <w:rPr>
          <w:rFonts w:ascii="Calibri" w:hAnsi="Calibri" w:cs="Calibri"/>
          <w:color w:val="7F7F7F" w:themeColor="text1" w:themeTint="80"/>
          <w:sz w:val="26"/>
          <w:szCs w:val="26"/>
        </w:rPr>
        <w:t xml:space="preserve"> </w:t>
      </w:r>
    </w:p>
    <w:p w:rsidR="00A76A94" w:rsidRDefault="00A76A94" w:rsidP="00A76A94">
      <w:pPr>
        <w:ind w:firstLine="708"/>
        <w:jc w:val="both"/>
        <w:rPr>
          <w:rFonts w:ascii="Calibri" w:hAnsi="Calibri" w:cs="Calibri"/>
          <w:bCs/>
          <w:color w:val="7F7F7F" w:themeColor="text1" w:themeTint="80"/>
          <w:sz w:val="26"/>
          <w:szCs w:val="26"/>
        </w:rPr>
      </w:pPr>
    </w:p>
    <w:p w:rsidR="00A76A94" w:rsidRDefault="00A76A94" w:rsidP="00A76A94">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A76A94" w:rsidRDefault="00A76A94" w:rsidP="00A76A94">
      <w:pPr>
        <w:jc w:val="both"/>
        <w:rPr>
          <w:rFonts w:asciiTheme="minorHAnsi" w:hAnsiTheme="minorHAnsi" w:cs="Calibri"/>
          <w:bCs/>
          <w:color w:val="7F7F7F" w:themeColor="text1" w:themeTint="80"/>
          <w:sz w:val="26"/>
          <w:szCs w:val="26"/>
        </w:rPr>
      </w:pPr>
    </w:p>
    <w:p w:rsidR="00A76A94" w:rsidRDefault="00A76A94" w:rsidP="00A76A94">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w:t>
      </w:r>
      <w:r>
        <w:rPr>
          <w:rFonts w:ascii="Calibri" w:hAnsi="Calibri" w:cs="Calibri"/>
          <w:bCs/>
          <w:color w:val="7F7F7F" w:themeColor="text1" w:themeTint="80"/>
          <w:sz w:val="26"/>
          <w:szCs w:val="26"/>
        </w:rPr>
        <w:lastRenderedPageBreak/>
        <w:t xml:space="preserve">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w:t>
      </w:r>
    </w:p>
    <w:p w:rsidR="00A76A94" w:rsidRDefault="00A76A94" w:rsidP="00A76A9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0388/2do JAM/2017-JN</w:t>
      </w:r>
    </w:p>
    <w:p w:rsidR="00A76A94" w:rsidRDefault="00A76A94" w:rsidP="00A76A94">
      <w:pPr>
        <w:ind w:firstLine="708"/>
        <w:jc w:val="both"/>
        <w:rPr>
          <w:rFonts w:ascii="Calibri" w:hAnsi="Calibri" w:cs="Calibri"/>
          <w:bCs/>
          <w:color w:val="7F7F7F" w:themeColor="text1" w:themeTint="80"/>
          <w:sz w:val="26"/>
          <w:szCs w:val="26"/>
        </w:rPr>
      </w:pPr>
    </w:p>
    <w:p w:rsidR="00A76A94" w:rsidRDefault="00A76A94" w:rsidP="00A76A94">
      <w:pPr>
        <w:jc w:val="both"/>
        <w:rPr>
          <w:rFonts w:ascii="Calibri" w:hAnsi="Calibri" w:cs="Calibri"/>
          <w:bCs/>
          <w:color w:val="7F7F7F" w:themeColor="text1" w:themeTint="80"/>
          <w:sz w:val="26"/>
          <w:szCs w:val="26"/>
        </w:rPr>
      </w:pPr>
      <w:proofErr w:type="gramStart"/>
      <w:r>
        <w:rPr>
          <w:rFonts w:ascii="Calibri" w:hAnsi="Calibri" w:cs="Calibri"/>
          <w:bCs/>
          <w:color w:val="7F7F7F" w:themeColor="text1" w:themeTint="80"/>
          <w:sz w:val="26"/>
          <w:szCs w:val="26"/>
        </w:rPr>
        <w:t>motor</w:t>
      </w:r>
      <w:proofErr w:type="gramEnd"/>
      <w:r>
        <w:rPr>
          <w:rFonts w:ascii="Calibri" w:hAnsi="Calibri" w:cs="Calibri"/>
          <w:bCs/>
          <w:color w:val="7F7F7F" w:themeColor="text1" w:themeTint="80"/>
          <w:sz w:val="26"/>
          <w:szCs w:val="26"/>
        </w:rPr>
        <w:t xml:space="preserve">, al no ser corpórea, es decir que tenga un cuerpo como lo tiene una persona física para la ejecución de tareas motrices. . . . . . . . . . . . . . . . . . . . . . . . . . </w:t>
      </w:r>
    </w:p>
    <w:p w:rsidR="00A76A94" w:rsidRDefault="00A76A94" w:rsidP="00A76A94">
      <w:pPr>
        <w:ind w:firstLine="708"/>
        <w:jc w:val="both"/>
        <w:rPr>
          <w:rFonts w:ascii="Calibri" w:hAnsi="Calibri" w:cs="Calibri"/>
          <w:bCs/>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360246 (tres-seis-cero-dos-cuatro-seis), de fecha 02 dos de febrero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A76A94" w:rsidRDefault="00A76A94" w:rsidP="00A76A94">
      <w:pPr>
        <w:ind w:firstLine="708"/>
        <w:jc w:val="both"/>
        <w:rPr>
          <w:rFonts w:ascii="Calibri" w:hAnsi="Calibri" w:cs="Calibri"/>
          <w:bCs/>
          <w:color w:val="7F7F7F" w:themeColor="text1" w:themeTint="80"/>
          <w:sz w:val="26"/>
          <w:szCs w:val="26"/>
        </w:rPr>
      </w:pPr>
    </w:p>
    <w:p w:rsidR="00A76A94" w:rsidRDefault="00A76A94" w:rsidP="00A76A94">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color w:val="767171" w:themeColor="background2" w:themeShade="80"/>
          <w:sz w:val="26"/>
          <w:szCs w:val="26"/>
        </w:rPr>
        <w:t>. . . . . . . . . . . . . . . . . . . . . . . . . . . . . . . . .</w:t>
      </w:r>
    </w:p>
    <w:p w:rsidR="00A76A94" w:rsidRDefault="00A76A94" w:rsidP="00A76A94">
      <w:pPr>
        <w:jc w:val="both"/>
        <w:rPr>
          <w:rFonts w:ascii="Calibri" w:hAnsi="Calibri" w:cs="Calibri"/>
          <w:color w:val="7F7F7F" w:themeColor="text1" w:themeTint="80"/>
          <w:sz w:val="20"/>
          <w:szCs w:val="20"/>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360246 (tres-seis-cero-dos-cuatro-seis)</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02</w:t>
      </w:r>
      <w:r>
        <w:rPr>
          <w:rFonts w:ascii="Calibri" w:hAnsi="Calibri" w:cs="Calibri"/>
          <w:color w:val="7F7F7F" w:themeColor="text1" w:themeTint="80"/>
          <w:sz w:val="26"/>
          <w:szCs w:val="26"/>
        </w:rPr>
        <w:t xml:space="preserve"> dos de </w:t>
      </w:r>
      <w:r>
        <w:rPr>
          <w:rFonts w:ascii="Calibri" w:hAnsi="Calibri" w:cs="Calibri"/>
          <w:b/>
          <w:color w:val="7F7F7F" w:themeColor="text1" w:themeTint="80"/>
          <w:sz w:val="26"/>
          <w:szCs w:val="26"/>
        </w:rPr>
        <w:t>febrero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 . . . . .  </w:t>
      </w:r>
    </w:p>
    <w:p w:rsidR="00A76A94" w:rsidRDefault="00A76A94" w:rsidP="00A76A94">
      <w:pPr>
        <w:ind w:firstLine="708"/>
        <w:jc w:val="both"/>
        <w:rPr>
          <w:rFonts w:ascii="Calibri" w:hAnsi="Calibri" w:cs="Calibri"/>
          <w:color w:val="7F7F7F" w:themeColor="text1" w:themeTint="80"/>
          <w:sz w:val="26"/>
          <w:szCs w:val="26"/>
        </w:rPr>
      </w:pPr>
    </w:p>
    <w:p w:rsidR="00A76A94" w:rsidRDefault="00A76A94" w:rsidP="00A76A94">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lastRenderedPageBreak/>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primer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A76A94" w:rsidRDefault="00A76A94" w:rsidP="00A76A94">
      <w:pPr>
        <w:pStyle w:val="Textoindependiente"/>
        <w:rPr>
          <w:rFonts w:ascii="Calibri" w:hAnsi="Calibri" w:cs="Arial"/>
          <w:color w:val="7F7F7F" w:themeColor="text1" w:themeTint="80"/>
          <w:sz w:val="20"/>
          <w:szCs w:val="27"/>
          <w:lang w:val="es-ES"/>
        </w:rPr>
      </w:pPr>
    </w:p>
    <w:p w:rsidR="00A76A94" w:rsidRDefault="00A76A94" w:rsidP="00A76A94">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A76A94" w:rsidRDefault="00A76A94" w:rsidP="00A76A94">
      <w:pPr>
        <w:pStyle w:val="Textoindependiente"/>
        <w:ind w:firstLine="708"/>
        <w:rPr>
          <w:rFonts w:ascii="Calibri" w:hAnsi="Calibri"/>
          <w:b/>
          <w:bCs/>
          <w:i/>
          <w:iCs/>
          <w:color w:val="7F7F7F" w:themeColor="text1" w:themeTint="80"/>
          <w:sz w:val="20"/>
          <w:szCs w:val="20"/>
        </w:rPr>
      </w:pPr>
    </w:p>
    <w:p w:rsidR="00A76A94" w:rsidRDefault="00A76A94" w:rsidP="00A76A94">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color w:val="767171" w:themeColor="background2" w:themeShade="80"/>
          <w:sz w:val="26"/>
          <w:szCs w:val="26"/>
        </w:rPr>
        <w:t xml:space="preserve">. . . . . . . . . . . . . . . . . . . . . . . . . . . . . . . . . . . . . . . . . . . . . . . . . . . . . . . . . . </w:t>
      </w:r>
    </w:p>
    <w:p w:rsidR="00A76A94" w:rsidRDefault="00A76A94" w:rsidP="00A76A94">
      <w:pPr>
        <w:pStyle w:val="Textoindependiente"/>
        <w:rPr>
          <w:rFonts w:ascii="Calibri" w:hAnsi="Calibri"/>
          <w:b/>
          <w:i/>
          <w:color w:val="7F7F7F" w:themeColor="text1" w:themeTint="80"/>
          <w:sz w:val="20"/>
          <w:szCs w:val="20"/>
        </w:rPr>
      </w:pP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A76A94" w:rsidRDefault="00A76A94" w:rsidP="00A76A94">
      <w:pPr>
        <w:ind w:firstLine="708"/>
        <w:jc w:val="both"/>
        <w:rPr>
          <w:rFonts w:ascii="Calibri" w:hAnsi="Calibri"/>
          <w:color w:val="767171" w:themeColor="background2" w:themeShade="80"/>
          <w:sz w:val="20"/>
          <w:szCs w:val="20"/>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A76A94" w:rsidRDefault="00A76A94" w:rsidP="00A76A94">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A76A94" w:rsidRDefault="00A76A94" w:rsidP="00A76A94">
      <w:pPr>
        <w:pStyle w:val="Textoindependiente"/>
        <w:ind w:firstLine="708"/>
        <w:rPr>
          <w:rFonts w:ascii="Calibri" w:hAnsi="Calibri" w:cs="Calibri"/>
          <w:color w:val="7F7F7F" w:themeColor="text1" w:themeTint="80"/>
          <w:sz w:val="26"/>
          <w:szCs w:val="26"/>
        </w:rPr>
      </w:pPr>
    </w:p>
    <w:p w:rsidR="00A76A94" w:rsidRDefault="00A76A94" w:rsidP="00A76A94">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A76A94" w:rsidRDefault="00A76A94" w:rsidP="00A76A94">
      <w:pPr>
        <w:pStyle w:val="Textoindependiente"/>
        <w:rPr>
          <w:rFonts w:ascii="Calibri" w:hAnsi="Calibri" w:cs="Calibri"/>
          <w:color w:val="7F7F7F" w:themeColor="text1" w:themeTint="80"/>
          <w:sz w:val="20"/>
          <w:szCs w:val="20"/>
        </w:rPr>
      </w:pP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A76A94" w:rsidRDefault="00A76A94" w:rsidP="00A76A94">
      <w:pPr>
        <w:pStyle w:val="Textoindependiente"/>
        <w:ind w:firstLine="708"/>
        <w:rPr>
          <w:rFonts w:ascii="Calibri" w:hAnsi="Calibri" w:cs="Calibri"/>
          <w:color w:val="7F7F7F" w:themeColor="text1" w:themeTint="80"/>
          <w:sz w:val="26"/>
          <w:szCs w:val="26"/>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lastRenderedPageBreak/>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A76A94" w:rsidRDefault="00A76A94" w:rsidP="00A76A94">
      <w:pPr>
        <w:pStyle w:val="Textoindependiente"/>
        <w:ind w:firstLine="708"/>
        <w:rPr>
          <w:rFonts w:ascii="Calibri" w:hAnsi="Calibri" w:cs="Calibri"/>
          <w:bCs/>
          <w:iCs/>
          <w:color w:val="7F7F7F" w:themeColor="text1" w:themeTint="80"/>
          <w:sz w:val="20"/>
          <w:szCs w:val="20"/>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360246 (tres-seis-cero-dos-cuatro-seis)</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02 dos </w:t>
      </w:r>
      <w:r>
        <w:rPr>
          <w:rFonts w:ascii="Calibri" w:hAnsi="Calibri" w:cs="Calibri"/>
          <w:color w:val="7F7F7F" w:themeColor="text1" w:themeTint="80"/>
          <w:sz w:val="26"/>
          <w:szCs w:val="26"/>
        </w:rPr>
        <w:t>de</w:t>
      </w:r>
      <w:r>
        <w:rPr>
          <w:rFonts w:ascii="Calibri" w:hAnsi="Calibri" w:cs="Calibri"/>
          <w:b/>
          <w:color w:val="7F7F7F" w:themeColor="text1" w:themeTint="80"/>
          <w:sz w:val="26"/>
          <w:szCs w:val="26"/>
        </w:rPr>
        <w:t xml:space="preserve"> febrero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A76A94" w:rsidRDefault="00A76A94" w:rsidP="00A76A94">
      <w:pPr>
        <w:pStyle w:val="Textoindependiente"/>
        <w:rPr>
          <w:rFonts w:ascii="Calibri" w:hAnsi="Calibri" w:cs="Calibri"/>
          <w:b/>
          <w:bCs/>
          <w:i/>
          <w:iCs/>
          <w:color w:val="7F7F7F" w:themeColor="text1" w:themeTint="80"/>
          <w:sz w:val="20"/>
          <w:szCs w:val="20"/>
          <w:lang w:val="es-ES"/>
        </w:rPr>
      </w:pPr>
    </w:p>
    <w:p w:rsidR="00A76A94" w:rsidRDefault="00A76A94" w:rsidP="00A76A94">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w:t>
      </w:r>
    </w:p>
    <w:p w:rsidR="00A76A94" w:rsidRDefault="00A76A94" w:rsidP="00A76A94">
      <w:pPr>
        <w:ind w:firstLine="708"/>
        <w:jc w:val="both"/>
        <w:rPr>
          <w:rFonts w:ascii="Calibri" w:hAnsi="Calibri"/>
          <w:color w:val="7F7F7F" w:themeColor="text1" w:themeTint="80"/>
          <w:sz w:val="26"/>
        </w:rPr>
      </w:pPr>
    </w:p>
    <w:p w:rsidR="00A76A94" w:rsidRDefault="00A76A94" w:rsidP="00A76A9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0388/2do JAM/2017-JN</w:t>
      </w:r>
    </w:p>
    <w:p w:rsidR="00A76A94" w:rsidRDefault="00A76A94" w:rsidP="00A76A94">
      <w:pPr>
        <w:jc w:val="both"/>
        <w:rPr>
          <w:rFonts w:ascii="Calibri" w:hAnsi="Calibri"/>
          <w:color w:val="7F7F7F" w:themeColor="text1" w:themeTint="80"/>
          <w:sz w:val="26"/>
        </w:rPr>
      </w:pPr>
    </w:p>
    <w:p w:rsidR="00A76A94" w:rsidRDefault="00A76A94" w:rsidP="00A76A94">
      <w:pPr>
        <w:jc w:val="both"/>
        <w:rPr>
          <w:rFonts w:ascii="Calibri" w:hAnsi="Calibri"/>
          <w:color w:val="7F7F7F" w:themeColor="text1" w:themeTint="80"/>
          <w:sz w:val="26"/>
        </w:rPr>
      </w:pPr>
      <w:proofErr w:type="gramStart"/>
      <w:r>
        <w:rPr>
          <w:rFonts w:ascii="Calibri" w:hAnsi="Calibri"/>
          <w:color w:val="7F7F7F" w:themeColor="text1" w:themeTint="80"/>
          <w:sz w:val="26"/>
        </w:rPr>
        <w:t>caso</w:t>
      </w:r>
      <w:proofErr w:type="gramEnd"/>
      <w:r>
        <w:rPr>
          <w:rFonts w:ascii="Calibri" w:hAnsi="Calibri"/>
          <w:color w:val="7F7F7F" w:themeColor="text1" w:themeTint="80"/>
          <w:sz w:val="26"/>
        </w:rPr>
        <w:t>, se impusiera; ello de conformidad a lo argumentado en el considerando Noveno de esta misma resolución. . . . . . . . . . . . . . . . . . . . . . . . . . . . . . . . . . . . . . . . .</w:t>
      </w:r>
      <w:r>
        <w:rPr>
          <w:rFonts w:ascii="Calibri" w:hAnsi="Calibri" w:cs="Calibri"/>
          <w:color w:val="7F7F7F" w:themeColor="text1" w:themeTint="80"/>
          <w:sz w:val="26"/>
          <w:szCs w:val="26"/>
        </w:rPr>
        <w:t xml:space="preserve"> </w:t>
      </w:r>
    </w:p>
    <w:p w:rsidR="00A76A94" w:rsidRDefault="00A76A94" w:rsidP="00A76A94">
      <w:pPr>
        <w:jc w:val="both"/>
        <w:rPr>
          <w:rFonts w:ascii="Calibri" w:hAnsi="Calibri" w:cs="Calibri"/>
          <w:color w:val="7F7F7F" w:themeColor="text1" w:themeTint="80"/>
          <w:sz w:val="20"/>
          <w:szCs w:val="20"/>
        </w:rPr>
      </w:pPr>
    </w:p>
    <w:p w:rsidR="00A76A94" w:rsidRDefault="00A76A94" w:rsidP="00A76A94">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A76A94" w:rsidRDefault="00A76A94" w:rsidP="00A76A94">
      <w:pPr>
        <w:pStyle w:val="Textoindependiente"/>
        <w:ind w:firstLine="708"/>
        <w:rPr>
          <w:rFonts w:ascii="Calibri" w:hAnsi="Calibri" w:cs="Calibri"/>
          <w:color w:val="7F7F7F" w:themeColor="text1" w:themeTint="80"/>
          <w:sz w:val="26"/>
          <w:szCs w:val="26"/>
        </w:rPr>
      </w:pP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A76A94" w:rsidRDefault="00A76A94" w:rsidP="00A76A94">
      <w:pPr>
        <w:jc w:val="both"/>
        <w:rPr>
          <w:rFonts w:ascii="Calibri" w:hAnsi="Calibri" w:cs="Calibri"/>
          <w:color w:val="7F7F7F" w:themeColor="text1" w:themeTint="80"/>
          <w:sz w:val="20"/>
          <w:szCs w:val="20"/>
          <w:lang w:val="es-MX"/>
        </w:rPr>
      </w:pPr>
    </w:p>
    <w:p w:rsidR="00A76A94" w:rsidRDefault="00A76A94" w:rsidP="00A76A94">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A76A94" w:rsidRDefault="00A76A94" w:rsidP="00A76A94">
      <w:pPr>
        <w:pStyle w:val="Textoindependiente"/>
        <w:rPr>
          <w:rFonts w:ascii="Calibri" w:hAnsi="Calibri" w:cs="Calibri"/>
          <w:color w:val="7F7F7F" w:themeColor="text1" w:themeTint="80"/>
          <w:sz w:val="20"/>
          <w:szCs w:val="20"/>
        </w:rPr>
      </w:pPr>
    </w:p>
    <w:p w:rsidR="00A76A94" w:rsidRDefault="00A76A94" w:rsidP="00A76A94">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4F58FC" w:rsidRPr="00A76A94" w:rsidRDefault="004F58FC">
      <w:pPr>
        <w:rPr>
          <w:lang w:val="es-MX"/>
        </w:rPr>
      </w:pPr>
      <w:bookmarkStart w:id="0" w:name="_GoBack"/>
      <w:bookmarkEnd w:id="0"/>
    </w:p>
    <w:sectPr w:rsidR="004F58FC" w:rsidRPr="00A76A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94"/>
    <w:rsid w:val="004F58FC"/>
    <w:rsid w:val="00A76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DCE0-855B-453E-8705-D3F92619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9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76A9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A9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76A94"/>
    <w:pPr>
      <w:jc w:val="both"/>
    </w:pPr>
    <w:rPr>
      <w:lang w:val="es-MX"/>
    </w:rPr>
  </w:style>
  <w:style w:type="character" w:customStyle="1" w:styleId="TextoindependienteCar">
    <w:name w:val="Texto independiente Car"/>
    <w:basedOn w:val="Fuentedeprrafopredeter"/>
    <w:link w:val="Textoindependiente"/>
    <w:rsid w:val="00A76A9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76A9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6A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18192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2017-08-31T15:58:00Z</dcterms:created>
  <dcterms:modified xsi:type="dcterms:W3CDTF">2017-08-31T15:58:00Z</dcterms:modified>
</cp:coreProperties>
</file>